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Perstorp kommunfullmäktige</w:t>
      </w:r>
    </w:p>
    <w:p>
      <w:pPr>
        <w:pStyle w:val="Heading1"/>
      </w:pPr>
      <w:r>
        <w:t xml:space="preserve">Förenklade bygglovsprocesser för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Perstorp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 2025 rankar Perstorp lågt i handläggningstider. Långa processer försvårar expansion för Perstorp AB och mindre företag. Enklare regler kan öka sysselsättningen.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Perstorp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tidsgaranti på maximalt 6 veckor för bygglov för befintliga verksamheter.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sänka bygglovsavgifterna med 20 % för nystartade företag.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inrätta en företagslotsfunktion inom bygg- och miljöförvaltningen.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processen årligen med företagarnas synpunkter.</w:t>
      </w:r>
    </w:p>
    <w:p>
      <w:pPr>
        <w:spacing w:before="360"/>
      </w:pPr>
    </w:p>
    <w:p>
      <w:r>
        <w:t xml:space="preserve">Perstorp,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Perstorp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2026-07-14T01:06:32.657Z</dcterms:created>
  <dcterms:modified xsi:type="dcterms:W3CDTF">2026-07-14T01:06:32.657Z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